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050F4" w14:textId="77777777" w:rsidR="008960C3" w:rsidRPr="008960C3" w:rsidRDefault="008960C3" w:rsidP="008960C3">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8960C3">
        <w:rPr>
          <w:rFonts w:ascii="Verdana" w:eastAsia="Times New Roman" w:hAnsi="Verdana" w:cs="Times New Roman"/>
          <w:color w:val="CC3300"/>
          <w:kern w:val="36"/>
          <w:sz w:val="36"/>
          <w:szCs w:val="36"/>
          <w:lang w:eastAsia="fr-BE"/>
        </w:rPr>
        <w:t>La CE dévoile son mécanisme d’ajustement carbone aux frontières</w:t>
      </w:r>
    </w:p>
    <w:p w14:paraId="11233190" w14:textId="77777777" w:rsidR="008960C3" w:rsidRDefault="008960C3" w:rsidP="008960C3">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715E1F49" w14:textId="582150BC" w:rsidR="008960C3" w:rsidRPr="008960C3" w:rsidRDefault="008960C3" w:rsidP="008960C3">
      <w:pPr>
        <w:shd w:val="clear" w:color="auto" w:fill="FFFFFF"/>
        <w:spacing w:before="75" w:after="75" w:line="240" w:lineRule="auto"/>
        <w:jc w:val="both"/>
        <w:rPr>
          <w:rFonts w:ascii="Verdana" w:eastAsia="Times New Roman" w:hAnsi="Verdana" w:cs="Times New Roman"/>
          <w:color w:val="000000"/>
          <w:sz w:val="23"/>
          <w:szCs w:val="23"/>
          <w:lang w:eastAsia="fr-BE"/>
        </w:rPr>
      </w:pPr>
      <w:r w:rsidRPr="008960C3">
        <w:rPr>
          <w:rFonts w:ascii="Verdana" w:eastAsia="Times New Roman" w:hAnsi="Verdana" w:cs="Times New Roman"/>
          <w:color w:val="000000"/>
          <w:sz w:val="23"/>
          <w:szCs w:val="23"/>
          <w:lang w:eastAsia="fr-BE"/>
        </w:rPr>
        <w:t>La Commission européenne (CE) a présenté mercredi 14 juillet une série de propositions, dans le cadre du Green Deal, qui concerne l’industrie des métaux, notamment un mécanisme d’ajustement carbone aux frontières (MACF).</w:t>
      </w:r>
    </w:p>
    <w:p w14:paraId="42E32962" w14:textId="77777777" w:rsidR="008960C3" w:rsidRPr="008960C3" w:rsidRDefault="008960C3" w:rsidP="008960C3">
      <w:pPr>
        <w:shd w:val="clear" w:color="auto" w:fill="FFFFFF"/>
        <w:spacing w:before="75" w:after="75" w:line="240" w:lineRule="auto"/>
        <w:jc w:val="both"/>
        <w:rPr>
          <w:rFonts w:ascii="Verdana" w:eastAsia="Times New Roman" w:hAnsi="Verdana" w:cs="Times New Roman"/>
          <w:color w:val="000000"/>
          <w:sz w:val="23"/>
          <w:szCs w:val="23"/>
          <w:lang w:eastAsia="fr-BE"/>
        </w:rPr>
      </w:pPr>
      <w:r w:rsidRPr="008960C3">
        <w:rPr>
          <w:rFonts w:ascii="Verdana" w:eastAsia="Times New Roman" w:hAnsi="Verdana" w:cs="Times New Roman"/>
          <w:color w:val="000000"/>
          <w:sz w:val="23"/>
          <w:szCs w:val="23"/>
          <w:lang w:eastAsia="fr-BE"/>
        </w:rPr>
        <w:t>Le MACF est un outil dont l’objectif principal est de fixer une taxe carbone sur les produits importés afin de protéger les entreprises de l'UE qui devront réduire d'ici 2030 leurs émissions de gaz à effet de serre. Il permettra aussi d’éviter les délocalisations de productions émettrices de gaz à effet de serre (appelées « fuite de carbone »), de générer des revenus (jusqu’à 10 milliards d’euros par an iront dans le budget de l’UE) et enfin, d’encourager les producteurs de pays tiers à réduire leurs émissions.</w:t>
      </w:r>
    </w:p>
    <w:p w14:paraId="1FB763CE" w14:textId="77777777" w:rsidR="008960C3" w:rsidRPr="008960C3" w:rsidRDefault="008960C3" w:rsidP="008960C3">
      <w:pPr>
        <w:shd w:val="clear" w:color="auto" w:fill="FFFFFF"/>
        <w:spacing w:before="75" w:after="75" w:line="240" w:lineRule="auto"/>
        <w:jc w:val="both"/>
        <w:rPr>
          <w:rFonts w:ascii="Verdana" w:eastAsia="Times New Roman" w:hAnsi="Verdana" w:cs="Times New Roman"/>
          <w:color w:val="000000"/>
          <w:sz w:val="23"/>
          <w:szCs w:val="23"/>
          <w:lang w:eastAsia="fr-BE"/>
        </w:rPr>
      </w:pPr>
      <w:r w:rsidRPr="008960C3">
        <w:rPr>
          <w:rFonts w:ascii="Verdana" w:eastAsia="Times New Roman" w:hAnsi="Verdana" w:cs="Times New Roman"/>
          <w:color w:val="000000"/>
          <w:sz w:val="23"/>
          <w:szCs w:val="23"/>
          <w:lang w:eastAsia="fr-BE"/>
        </w:rPr>
        <w:t>Ce MACF s’appliquera aux importations de fer et d’acier, d’aluminium, de ciment et fertiliseurs et d’électricité.</w:t>
      </w:r>
    </w:p>
    <w:p w14:paraId="597C8916" w14:textId="77777777" w:rsidR="008960C3" w:rsidRPr="008960C3" w:rsidRDefault="008960C3" w:rsidP="008960C3">
      <w:pPr>
        <w:shd w:val="clear" w:color="auto" w:fill="FFFFFF"/>
        <w:spacing w:before="75" w:after="75" w:line="240" w:lineRule="auto"/>
        <w:jc w:val="both"/>
        <w:rPr>
          <w:rFonts w:ascii="Verdana" w:eastAsia="Times New Roman" w:hAnsi="Verdana" w:cs="Times New Roman"/>
          <w:color w:val="000000"/>
          <w:sz w:val="23"/>
          <w:szCs w:val="23"/>
          <w:lang w:eastAsia="fr-BE"/>
        </w:rPr>
      </w:pPr>
      <w:r w:rsidRPr="008960C3">
        <w:rPr>
          <w:rFonts w:ascii="Verdana" w:eastAsia="Times New Roman" w:hAnsi="Verdana" w:cs="Times New Roman"/>
          <w:color w:val="000000"/>
          <w:sz w:val="23"/>
          <w:szCs w:val="23"/>
          <w:lang w:eastAsia="fr-BE"/>
        </w:rPr>
        <w:t>Au cours de la période dite de transition, entre 2023 et 2025, les importateurs devront déclarer les émissions comprises dans les biens importés dans l’Union européenne sans avoir à payer de taxes.</w:t>
      </w:r>
    </w:p>
    <w:p w14:paraId="19A3F420" w14:textId="77777777" w:rsidR="008960C3" w:rsidRPr="008960C3" w:rsidRDefault="008960C3" w:rsidP="008960C3">
      <w:pPr>
        <w:shd w:val="clear" w:color="auto" w:fill="FFFFFF"/>
        <w:spacing w:before="75" w:after="75" w:line="240" w:lineRule="auto"/>
        <w:jc w:val="both"/>
        <w:rPr>
          <w:rFonts w:ascii="Verdana" w:eastAsia="Times New Roman" w:hAnsi="Verdana" w:cs="Times New Roman"/>
          <w:color w:val="000000"/>
          <w:sz w:val="23"/>
          <w:szCs w:val="23"/>
          <w:lang w:eastAsia="fr-BE"/>
        </w:rPr>
      </w:pPr>
      <w:r w:rsidRPr="008960C3">
        <w:rPr>
          <w:rFonts w:ascii="Verdana" w:eastAsia="Times New Roman" w:hAnsi="Verdana" w:cs="Times New Roman"/>
          <w:color w:val="000000"/>
          <w:sz w:val="23"/>
          <w:szCs w:val="23"/>
          <w:lang w:eastAsia="fr-BE"/>
        </w:rPr>
        <w:t xml:space="preserve">Les mesures définitives seront appliquées en 2026, et les importateurs devront alors déclarer annuellement la quantité d’émissions contenues dans les biens </w:t>
      </w:r>
      <w:proofErr w:type="gramStart"/>
      <w:r w:rsidRPr="008960C3">
        <w:rPr>
          <w:rFonts w:ascii="Verdana" w:eastAsia="Times New Roman" w:hAnsi="Verdana" w:cs="Times New Roman"/>
          <w:color w:val="000000"/>
          <w:sz w:val="23"/>
          <w:szCs w:val="23"/>
          <w:lang w:eastAsia="fr-BE"/>
        </w:rPr>
        <w:t>reçus</w:t>
      </w:r>
      <w:proofErr w:type="gramEnd"/>
      <w:r w:rsidRPr="008960C3">
        <w:rPr>
          <w:rFonts w:ascii="Verdana" w:eastAsia="Times New Roman" w:hAnsi="Verdana" w:cs="Times New Roman"/>
          <w:color w:val="000000"/>
          <w:sz w:val="23"/>
          <w:szCs w:val="23"/>
          <w:lang w:eastAsia="fr-BE"/>
        </w:rPr>
        <w:t>.</w:t>
      </w:r>
    </w:p>
    <w:p w14:paraId="41D92F04" w14:textId="77777777" w:rsidR="008960C3" w:rsidRPr="008960C3" w:rsidRDefault="008960C3" w:rsidP="008960C3">
      <w:pPr>
        <w:shd w:val="clear" w:color="auto" w:fill="FFFFFF"/>
        <w:spacing w:before="75" w:after="75" w:line="240" w:lineRule="auto"/>
        <w:jc w:val="both"/>
        <w:rPr>
          <w:rFonts w:ascii="Verdana" w:eastAsia="Times New Roman" w:hAnsi="Verdana" w:cs="Times New Roman"/>
          <w:color w:val="000000"/>
          <w:sz w:val="23"/>
          <w:szCs w:val="23"/>
          <w:lang w:eastAsia="fr-BE"/>
        </w:rPr>
      </w:pPr>
      <w:r w:rsidRPr="008960C3">
        <w:rPr>
          <w:rFonts w:ascii="Verdana" w:eastAsia="Times New Roman" w:hAnsi="Verdana" w:cs="Times New Roman"/>
          <w:color w:val="000000"/>
          <w:sz w:val="23"/>
          <w:szCs w:val="23"/>
          <w:lang w:eastAsia="fr-BE"/>
        </w:rPr>
        <w:t>Le MACF s’appliquera aux émissions directes mais, à la fin de la période de transition, la CE évaluera si une extension des mesures est nécessaire, avec la possibilité d’inclure les émissions indirectes.</w:t>
      </w:r>
    </w:p>
    <w:p w14:paraId="43ED798E" w14:textId="77777777" w:rsidR="008960C3" w:rsidRPr="008960C3" w:rsidRDefault="008960C3" w:rsidP="008960C3">
      <w:pPr>
        <w:shd w:val="clear" w:color="auto" w:fill="FFFFFF"/>
        <w:spacing w:before="75" w:after="75" w:line="240" w:lineRule="auto"/>
        <w:jc w:val="both"/>
        <w:rPr>
          <w:rFonts w:ascii="Verdana" w:eastAsia="Times New Roman" w:hAnsi="Verdana" w:cs="Times New Roman"/>
          <w:color w:val="000000"/>
          <w:sz w:val="23"/>
          <w:szCs w:val="23"/>
          <w:lang w:eastAsia="fr-BE"/>
        </w:rPr>
      </w:pPr>
      <w:r w:rsidRPr="008960C3">
        <w:rPr>
          <w:rFonts w:ascii="Verdana" w:eastAsia="Times New Roman" w:hAnsi="Verdana" w:cs="Times New Roman"/>
          <w:color w:val="000000"/>
          <w:sz w:val="23"/>
          <w:szCs w:val="23"/>
          <w:lang w:eastAsia="fr-BE"/>
        </w:rPr>
        <w:t xml:space="preserve">Dans le cadre du régime de MACF, les importateurs de l’UE devront acheter des certificats d’émissions, basés sur le prix du carbone dans l’UE. Les exportateurs hors UE devront prouver qu’ils n’ont pas déjà payé les émissions de carbone dans leur pays. </w:t>
      </w:r>
      <w:proofErr w:type="spellStart"/>
      <w:r w:rsidRPr="008960C3">
        <w:rPr>
          <w:rFonts w:ascii="Verdana" w:eastAsia="Times New Roman" w:hAnsi="Verdana" w:cs="Times New Roman"/>
          <w:color w:val="000000"/>
          <w:sz w:val="23"/>
          <w:szCs w:val="23"/>
          <w:lang w:eastAsia="fr-BE"/>
        </w:rPr>
        <w:t>Valdis</w:t>
      </w:r>
      <w:proofErr w:type="spellEnd"/>
      <w:r w:rsidRPr="008960C3">
        <w:rPr>
          <w:rFonts w:ascii="Verdana" w:eastAsia="Times New Roman" w:hAnsi="Verdana" w:cs="Times New Roman"/>
          <w:color w:val="000000"/>
          <w:sz w:val="23"/>
          <w:szCs w:val="23"/>
          <w:lang w:eastAsia="fr-BE"/>
        </w:rPr>
        <w:t xml:space="preserve"> </w:t>
      </w:r>
      <w:proofErr w:type="spellStart"/>
      <w:r w:rsidRPr="008960C3">
        <w:rPr>
          <w:rFonts w:ascii="Verdana" w:eastAsia="Times New Roman" w:hAnsi="Verdana" w:cs="Times New Roman"/>
          <w:color w:val="000000"/>
          <w:sz w:val="23"/>
          <w:szCs w:val="23"/>
          <w:lang w:eastAsia="fr-BE"/>
        </w:rPr>
        <w:t>Dombrovskis</w:t>
      </w:r>
      <w:proofErr w:type="spellEnd"/>
      <w:r w:rsidRPr="008960C3">
        <w:rPr>
          <w:rFonts w:ascii="Verdana" w:eastAsia="Times New Roman" w:hAnsi="Verdana" w:cs="Times New Roman"/>
          <w:color w:val="000000"/>
          <w:sz w:val="23"/>
          <w:szCs w:val="23"/>
          <w:lang w:eastAsia="fr-BE"/>
        </w:rPr>
        <w:t>, le vice-président exécutif de la Commission, a promis que l'Europe tiendra « pleinement compte du prix du carbone payé dans d'autres pays et de l'efficacité des émissions des producteurs de pays tiers afin que ce mécanisme soit soigneusement équilibré et non discriminatoire ».</w:t>
      </w:r>
    </w:p>
    <w:p w14:paraId="085D12E8" w14:textId="77777777" w:rsidR="008960C3" w:rsidRPr="008960C3" w:rsidRDefault="008960C3" w:rsidP="008960C3">
      <w:pPr>
        <w:shd w:val="clear" w:color="auto" w:fill="FFFFFF"/>
        <w:spacing w:before="75" w:after="75" w:line="240" w:lineRule="auto"/>
        <w:jc w:val="both"/>
        <w:rPr>
          <w:rFonts w:ascii="Verdana" w:eastAsia="Times New Roman" w:hAnsi="Verdana" w:cs="Times New Roman"/>
          <w:color w:val="000000"/>
          <w:sz w:val="23"/>
          <w:szCs w:val="23"/>
          <w:lang w:eastAsia="fr-BE"/>
        </w:rPr>
      </w:pPr>
      <w:r w:rsidRPr="008960C3">
        <w:rPr>
          <w:rFonts w:ascii="Verdana" w:eastAsia="Times New Roman" w:hAnsi="Verdana" w:cs="Times New Roman"/>
          <w:color w:val="000000"/>
          <w:sz w:val="23"/>
          <w:szCs w:val="23"/>
          <w:lang w:eastAsia="fr-BE"/>
        </w:rPr>
        <w:t>Les produits en aluminium qui seront soumis au MACF sont les suivants :</w:t>
      </w:r>
    </w:p>
    <w:p w14:paraId="75AB0B58" w14:textId="77777777" w:rsidR="008960C3" w:rsidRPr="008960C3" w:rsidRDefault="008960C3" w:rsidP="008960C3">
      <w:pPr>
        <w:shd w:val="clear" w:color="auto" w:fill="FFFFFF"/>
        <w:spacing w:before="75" w:after="75" w:line="240" w:lineRule="auto"/>
        <w:ind w:left="567"/>
        <w:jc w:val="both"/>
        <w:rPr>
          <w:rFonts w:ascii="Verdana" w:eastAsia="Times New Roman" w:hAnsi="Verdana" w:cs="Times New Roman"/>
          <w:color w:val="000000"/>
          <w:sz w:val="23"/>
          <w:szCs w:val="23"/>
          <w:lang w:eastAsia="fr-BE"/>
        </w:rPr>
      </w:pPr>
      <w:r w:rsidRPr="008960C3">
        <w:rPr>
          <w:rFonts w:ascii="Verdana" w:eastAsia="Times New Roman" w:hAnsi="Verdana" w:cs="Times New Roman"/>
          <w:color w:val="000000"/>
          <w:sz w:val="23"/>
          <w:szCs w:val="23"/>
          <w:lang w:eastAsia="fr-BE"/>
        </w:rPr>
        <w:t>· Aluminium brut (code 7601)</w:t>
      </w:r>
    </w:p>
    <w:p w14:paraId="3DDF3098" w14:textId="77777777" w:rsidR="008960C3" w:rsidRPr="008960C3" w:rsidRDefault="008960C3" w:rsidP="008960C3">
      <w:pPr>
        <w:shd w:val="clear" w:color="auto" w:fill="FFFFFF"/>
        <w:spacing w:before="75" w:after="75" w:line="240" w:lineRule="auto"/>
        <w:ind w:left="567"/>
        <w:jc w:val="both"/>
        <w:rPr>
          <w:rFonts w:ascii="Verdana" w:eastAsia="Times New Roman" w:hAnsi="Verdana" w:cs="Times New Roman"/>
          <w:color w:val="000000"/>
          <w:sz w:val="23"/>
          <w:szCs w:val="23"/>
          <w:lang w:eastAsia="fr-BE"/>
        </w:rPr>
      </w:pPr>
      <w:r w:rsidRPr="008960C3">
        <w:rPr>
          <w:rFonts w:ascii="Verdana" w:eastAsia="Times New Roman" w:hAnsi="Verdana" w:cs="Times New Roman"/>
          <w:color w:val="000000"/>
          <w:sz w:val="23"/>
          <w:szCs w:val="23"/>
          <w:lang w:eastAsia="fr-BE"/>
        </w:rPr>
        <w:t>· Poudre et paillettes d’aluminium (code 7603)</w:t>
      </w:r>
    </w:p>
    <w:p w14:paraId="36581A5A" w14:textId="77777777" w:rsidR="008960C3" w:rsidRPr="008960C3" w:rsidRDefault="008960C3" w:rsidP="008960C3">
      <w:pPr>
        <w:shd w:val="clear" w:color="auto" w:fill="FFFFFF"/>
        <w:spacing w:before="75" w:after="75" w:line="240" w:lineRule="auto"/>
        <w:ind w:left="567"/>
        <w:jc w:val="both"/>
        <w:rPr>
          <w:rFonts w:ascii="Verdana" w:eastAsia="Times New Roman" w:hAnsi="Verdana" w:cs="Times New Roman"/>
          <w:color w:val="000000"/>
          <w:sz w:val="23"/>
          <w:szCs w:val="23"/>
          <w:lang w:eastAsia="fr-BE"/>
        </w:rPr>
      </w:pPr>
      <w:r w:rsidRPr="008960C3">
        <w:rPr>
          <w:rFonts w:ascii="Verdana" w:eastAsia="Times New Roman" w:hAnsi="Verdana" w:cs="Times New Roman"/>
          <w:color w:val="000000"/>
          <w:sz w:val="23"/>
          <w:szCs w:val="23"/>
          <w:lang w:eastAsia="fr-BE"/>
        </w:rPr>
        <w:t>· Barres et profilés en aluminium (code 7604)</w:t>
      </w:r>
    </w:p>
    <w:p w14:paraId="6CF7AE15" w14:textId="77777777" w:rsidR="008960C3" w:rsidRPr="008960C3" w:rsidRDefault="008960C3" w:rsidP="008960C3">
      <w:pPr>
        <w:shd w:val="clear" w:color="auto" w:fill="FFFFFF"/>
        <w:spacing w:before="75" w:after="75" w:line="240" w:lineRule="auto"/>
        <w:ind w:left="567"/>
        <w:jc w:val="both"/>
        <w:rPr>
          <w:rFonts w:ascii="Verdana" w:eastAsia="Times New Roman" w:hAnsi="Verdana" w:cs="Times New Roman"/>
          <w:color w:val="000000"/>
          <w:sz w:val="23"/>
          <w:szCs w:val="23"/>
          <w:lang w:eastAsia="fr-BE"/>
        </w:rPr>
      </w:pPr>
      <w:r w:rsidRPr="008960C3">
        <w:rPr>
          <w:rFonts w:ascii="Verdana" w:eastAsia="Times New Roman" w:hAnsi="Verdana" w:cs="Times New Roman"/>
          <w:color w:val="000000"/>
          <w:sz w:val="23"/>
          <w:szCs w:val="23"/>
          <w:lang w:eastAsia="fr-BE"/>
        </w:rPr>
        <w:t>· Fils en aluminium (code 7605)</w:t>
      </w:r>
    </w:p>
    <w:p w14:paraId="74DE4F17" w14:textId="77777777" w:rsidR="008960C3" w:rsidRPr="008960C3" w:rsidRDefault="008960C3" w:rsidP="008960C3">
      <w:pPr>
        <w:shd w:val="clear" w:color="auto" w:fill="FFFFFF"/>
        <w:spacing w:before="75" w:after="75" w:line="240" w:lineRule="auto"/>
        <w:ind w:left="567"/>
        <w:jc w:val="both"/>
        <w:rPr>
          <w:rFonts w:ascii="Verdana" w:eastAsia="Times New Roman" w:hAnsi="Verdana" w:cs="Times New Roman"/>
          <w:color w:val="000000"/>
          <w:sz w:val="23"/>
          <w:szCs w:val="23"/>
          <w:lang w:eastAsia="fr-BE"/>
        </w:rPr>
      </w:pPr>
      <w:r w:rsidRPr="008960C3">
        <w:rPr>
          <w:rFonts w:ascii="Verdana" w:eastAsia="Times New Roman" w:hAnsi="Verdana" w:cs="Times New Roman"/>
          <w:color w:val="000000"/>
          <w:sz w:val="23"/>
          <w:szCs w:val="23"/>
          <w:lang w:eastAsia="fr-BE"/>
        </w:rPr>
        <w:t>· Tôles et bandes en aluminium, d’une épaisseur &gt;0.2 mm (code 7606)</w:t>
      </w:r>
    </w:p>
    <w:p w14:paraId="0F8D221D" w14:textId="77777777" w:rsidR="008960C3" w:rsidRPr="008960C3" w:rsidRDefault="008960C3" w:rsidP="008960C3">
      <w:pPr>
        <w:shd w:val="clear" w:color="auto" w:fill="FFFFFF"/>
        <w:spacing w:before="75" w:after="75" w:line="240" w:lineRule="auto"/>
        <w:ind w:left="567"/>
        <w:jc w:val="both"/>
        <w:rPr>
          <w:rFonts w:ascii="Verdana" w:eastAsia="Times New Roman" w:hAnsi="Verdana" w:cs="Times New Roman"/>
          <w:color w:val="000000"/>
          <w:sz w:val="23"/>
          <w:szCs w:val="23"/>
          <w:lang w:eastAsia="fr-BE"/>
        </w:rPr>
      </w:pPr>
      <w:r w:rsidRPr="008960C3">
        <w:rPr>
          <w:rFonts w:ascii="Verdana" w:eastAsia="Times New Roman" w:hAnsi="Verdana" w:cs="Times New Roman"/>
          <w:color w:val="000000"/>
          <w:sz w:val="23"/>
          <w:szCs w:val="23"/>
          <w:lang w:eastAsia="fr-BE"/>
        </w:rPr>
        <w:t>· Feuilles et bandes minces en aluminium (même imprimées ou fixées sur papier, carton, matières plastiques ou supports similaires), d'une épaisseur, support non compris, &lt;= 0,2 mm (code 7607)</w:t>
      </w:r>
    </w:p>
    <w:p w14:paraId="346276A5" w14:textId="77777777" w:rsidR="008960C3" w:rsidRPr="008960C3" w:rsidRDefault="008960C3" w:rsidP="008960C3">
      <w:pPr>
        <w:shd w:val="clear" w:color="auto" w:fill="FFFFFF"/>
        <w:spacing w:before="75" w:after="75" w:line="240" w:lineRule="auto"/>
        <w:ind w:left="567"/>
        <w:jc w:val="both"/>
        <w:rPr>
          <w:rFonts w:ascii="Verdana" w:eastAsia="Times New Roman" w:hAnsi="Verdana" w:cs="Times New Roman"/>
          <w:color w:val="000000"/>
          <w:sz w:val="23"/>
          <w:szCs w:val="23"/>
          <w:lang w:eastAsia="fr-BE"/>
        </w:rPr>
      </w:pPr>
      <w:r w:rsidRPr="008960C3">
        <w:rPr>
          <w:rFonts w:ascii="Verdana" w:eastAsia="Times New Roman" w:hAnsi="Verdana" w:cs="Times New Roman"/>
          <w:color w:val="000000"/>
          <w:sz w:val="23"/>
          <w:szCs w:val="23"/>
          <w:lang w:eastAsia="fr-BE"/>
        </w:rPr>
        <w:t>· Tubes et tuyaux en aluminium (sauf profilés creux) (code 7608)</w:t>
      </w:r>
    </w:p>
    <w:p w14:paraId="406E760D" w14:textId="77777777" w:rsidR="008960C3" w:rsidRPr="008960C3" w:rsidRDefault="008960C3" w:rsidP="008960C3">
      <w:pPr>
        <w:shd w:val="clear" w:color="auto" w:fill="FFFFFF"/>
        <w:spacing w:before="75" w:after="75" w:line="240" w:lineRule="auto"/>
        <w:ind w:left="567"/>
        <w:jc w:val="both"/>
        <w:rPr>
          <w:rFonts w:ascii="Verdana" w:eastAsia="Times New Roman" w:hAnsi="Verdana" w:cs="Times New Roman"/>
          <w:color w:val="000000"/>
          <w:sz w:val="23"/>
          <w:szCs w:val="23"/>
          <w:lang w:eastAsia="fr-BE"/>
        </w:rPr>
      </w:pPr>
      <w:r w:rsidRPr="008960C3">
        <w:rPr>
          <w:rFonts w:ascii="Verdana" w:eastAsia="Times New Roman" w:hAnsi="Verdana" w:cs="Times New Roman"/>
          <w:color w:val="000000"/>
          <w:sz w:val="23"/>
          <w:szCs w:val="23"/>
          <w:lang w:eastAsia="fr-BE"/>
        </w:rPr>
        <w:t>· Accessoires de tuyauterie (raccords, coudes, manchons, p. ex), en aluminium (code 7609)</w:t>
      </w:r>
    </w:p>
    <w:p w14:paraId="68B3AFF4" w14:textId="77777777" w:rsidR="008960C3" w:rsidRPr="008960C3" w:rsidRDefault="008960C3" w:rsidP="008960C3">
      <w:pPr>
        <w:shd w:val="clear" w:color="auto" w:fill="FFFFFF"/>
        <w:spacing w:before="75" w:after="75" w:line="240" w:lineRule="auto"/>
        <w:jc w:val="both"/>
        <w:rPr>
          <w:rFonts w:ascii="Verdana" w:eastAsia="Times New Roman" w:hAnsi="Verdana" w:cs="Times New Roman"/>
          <w:color w:val="000000"/>
          <w:sz w:val="23"/>
          <w:szCs w:val="23"/>
          <w:lang w:eastAsia="fr-BE"/>
        </w:rPr>
      </w:pPr>
      <w:r w:rsidRPr="008960C3">
        <w:rPr>
          <w:rFonts w:ascii="Verdana" w:eastAsia="Times New Roman" w:hAnsi="Verdana" w:cs="Times New Roman"/>
          <w:color w:val="000000"/>
          <w:sz w:val="23"/>
          <w:szCs w:val="23"/>
          <w:lang w:eastAsia="fr-BE"/>
        </w:rPr>
        <w:lastRenderedPageBreak/>
        <w:t> </w:t>
      </w:r>
    </w:p>
    <w:p w14:paraId="50721EAC" w14:textId="77777777" w:rsidR="005327B5" w:rsidRDefault="005327B5"/>
    <w:sectPr w:rsidR="005327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C3"/>
    <w:rsid w:val="00086BC8"/>
    <w:rsid w:val="005327B5"/>
    <w:rsid w:val="00633CB8"/>
    <w:rsid w:val="008960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94A4"/>
  <w15:chartTrackingRefBased/>
  <w15:docId w15:val="{2C2F1BF3-ED5F-4F52-8E95-BCC45C2E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9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2265</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2021-08-18T09:44:00Z</dcterms:created>
  <dcterms:modified xsi:type="dcterms:W3CDTF">2021-08-18T09:44:00Z</dcterms:modified>
</cp:coreProperties>
</file>